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E47E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9744AF">
        <w:rPr>
          <w:sz w:val="22"/>
          <w:szCs w:val="22"/>
        </w:rPr>
        <w:t>4617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9744AF">
        <w:rPr>
          <w:sz w:val="22"/>
          <w:szCs w:val="22"/>
        </w:rPr>
        <w:t>11.10</w:t>
      </w:r>
      <w:r w:rsidR="00A96189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9744AF">
        <w:rPr>
          <w:b/>
          <w:sz w:val="22"/>
          <w:szCs w:val="22"/>
        </w:rPr>
        <w:t>11.10</w:t>
      </w:r>
      <w:r w:rsidR="00A134DF" w:rsidRPr="00A134DF">
        <w:rPr>
          <w:b/>
          <w:sz w:val="22"/>
          <w:szCs w:val="22"/>
        </w:rPr>
        <w:t>.2016 r.</w:t>
      </w:r>
    </w:p>
    <w:p w:rsidR="00A96189" w:rsidRDefault="00A96189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materiałów </w:t>
      </w:r>
      <w:r w:rsidR="001A3EE2">
        <w:rPr>
          <w:b/>
          <w:color w:val="000000"/>
        </w:rPr>
        <w:t>i odczynników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9744AF" w:rsidRPr="00ED12E5" w:rsidRDefault="009744AF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4435EA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FC2764" w:rsidRDefault="00D4474C" w:rsidP="00D66C22">
      <w:r>
        <w:t>Przedmiotem zamówienia jest dostawa</w:t>
      </w:r>
      <w:r w:rsidR="00FC2764">
        <w:t xml:space="preserve"> </w:t>
      </w:r>
      <w:r w:rsidR="00936950">
        <w:t>następujących towarów</w:t>
      </w:r>
      <w:r w:rsidR="00FC2764">
        <w:t xml:space="preserve"> </w:t>
      </w:r>
      <w:r w:rsidR="00936950">
        <w:t>:</w:t>
      </w:r>
    </w:p>
    <w:p w:rsidR="009744AF" w:rsidRDefault="009744AF" w:rsidP="00D66C22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7"/>
        <w:gridCol w:w="5631"/>
        <w:gridCol w:w="1418"/>
        <w:gridCol w:w="992"/>
      </w:tblGrid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b/>
                <w:sz w:val="20"/>
                <w:szCs w:val="20"/>
                <w:lang w:eastAsia="en-US"/>
              </w:rPr>
              <w:t>Nazwa towaru, wymagania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b/>
                <w:sz w:val="20"/>
                <w:szCs w:val="20"/>
                <w:lang w:eastAsia="en-US"/>
              </w:rPr>
              <w:t>Jednostka</w:t>
            </w:r>
          </w:p>
          <w:p w:rsidR="009744AF" w:rsidRPr="00C26C1B" w:rsidRDefault="00711843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26C1B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  <w:r w:rsidR="009744AF" w:rsidRPr="009744AF">
              <w:rPr>
                <w:rFonts w:eastAsia="Calibri"/>
                <w:b/>
                <w:sz w:val="20"/>
                <w:szCs w:val="20"/>
                <w:lang w:eastAsia="en-US"/>
              </w:rPr>
              <w:t>iary</w:t>
            </w:r>
          </w:p>
          <w:p w:rsidR="00711843" w:rsidRPr="009744AF" w:rsidRDefault="00711843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b/>
                <w:sz w:val="20"/>
                <w:szCs w:val="20"/>
                <w:lang w:eastAsia="en-US"/>
              </w:rPr>
              <w:t>Ilość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elektrodowy KCl 3,0 mol/l, 250 ml, do przechowywania  i uzupełniania elektrod zespolonych pH, dostarczane w  butelkach o poj. 250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Elektroda zespolona pH przeznaczona do pomiarów pH w wodzie lub w roztworach wodnych, w zastosowaniach laboratoryjnych. Elektroda posiada szklany korpus zakończony cylindryczną membraną. Korpus elektrody posiada tubus, umożliwiający uzupełnianie roztworu mostka elektrolitycznego. Półogniwo odniesienia zamknięte jest w kartridżu, oddzielonym wewnętrznym łącznikiem elektrolitycznym, który zapobiega przenikaniu jonów srebra do roztworu mostka elektrolitycznego.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zakres pomiarowy 0...14 pH,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zakres temperatury: 0-100 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sym w:font="Mathematica1" w:char="F0B0"/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C,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roztwór mostka elektrolitycznego: 3 M KCl,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średnica korpusu: 12,0 ± 0,5 mm,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długość korpusu (bez oprawki): 140 ± 5 mm,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kształt membrany: cylindryczny,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łączniki elektrolityczne: ceramiczne,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materiał korpusu: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tab/>
              <w:t xml:space="preserve">szkło,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materiał oprawki: polipropylen,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długość przewodu: ok. 1 m, 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wtyczka:  BNC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Statyw na elektrody. Statyw samopoziomujący utrzymuje elektrody w pionie, możliwość obrotu ramienia o 360˚, uchwyt umożliwia montaż 3 elektrod z oprawkami o średnicy 16 mm i czujnika temperatury z oprawką o średnicy do 11 mm,  wykonany z ABS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Roztwór kalibracyjny KCl 0,1 mol/l, przewodność elektryczna w 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lastRenderedPageBreak/>
              <w:t>temp 25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sym w:font="Mathematica1" w:char="F0B0"/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t>C 1,41 mS/cm, dostarczany w butelkach z ciemnego tworzywa o poj. 250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lastRenderedPageBreak/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kalibracyjny KCl 0,01 mol/l , przewodność elektryczna w temp 25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sym w:font="Mathematica1" w:char="F0B0"/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t>C 12,90 mS/cm, dostarczany w butelkach z ciemnego tworzywa o poj. 250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kalibracyjny KCl 0,001 mol/l, przewodność elektryczna w temp 25</w:t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sym w:font="Mathematica1" w:char="F0B0"/>
            </w:r>
            <w:r w:rsidRPr="009744AF">
              <w:rPr>
                <w:rFonts w:eastAsia="Calibri"/>
                <w:sz w:val="20"/>
                <w:szCs w:val="20"/>
                <w:lang w:eastAsia="en-US"/>
              </w:rPr>
              <w:t>C 147 µS/cm, dostarczany w butelkach z ciemnego tworzywa o poj. 250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26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buforowy do sprawdzania elektrod redoks, 220 ± 5 mV dla elektrod z półogniwami Ag/AgCl, KCl 3,0 mol/l, dostarczany w butelki o poj. 250ml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1167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do regeneracji membran szklanych elektrod pH, które uległy zanieczyszczeniu lub procesowi „starzenia”, na skutek długotrwałego działania wody lub roztworów wodnych.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560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Butelki  polietylenowe do mieszadła rotacyjnego  Velp, poj. 2L,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26C1B" w:rsidRPr="009744AF" w:rsidTr="00C26C1B">
        <w:trPr>
          <w:trHeight w:val="412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Kolba miarowa z tworzywa sztucznego,  poj., 1L, z korkiem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26C1B" w:rsidRPr="009744AF" w:rsidTr="00C26C1B">
        <w:trPr>
          <w:trHeight w:val="41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Naczynie do wyżarzania porcelanowe, prostokątne, poj. 40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26C1B" w:rsidRPr="009744AF" w:rsidTr="00C26C1B">
        <w:trPr>
          <w:trHeight w:val="502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Naczynie do wyżarzania porcelanowe, niskie, poj. 220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26C1B" w:rsidRPr="009744AF" w:rsidTr="00C26C1B">
        <w:trPr>
          <w:trHeight w:val="425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Naczynie do wyżarzania porcelanowe, niskie, poj. 70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C26C1B" w:rsidRPr="009744AF" w:rsidTr="00C26C1B">
        <w:trPr>
          <w:trHeight w:val="417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Słój HDPE z nakrętką, poj. 120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C26C1B" w:rsidRPr="009744AF" w:rsidTr="00C26C1B">
        <w:trPr>
          <w:trHeight w:val="40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Słój HDPE z nakrętką, poj. 250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C26C1B" w:rsidRPr="009744AF" w:rsidTr="00C26C1B">
        <w:trPr>
          <w:trHeight w:val="42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Słój HDPE z nakrętką, poj. 500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</w:tr>
      <w:tr w:rsidR="00C26C1B" w:rsidRPr="009744AF" w:rsidTr="00C26C1B">
        <w:trPr>
          <w:trHeight w:val="392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Słój HDPE z nakrętką, poj. 1000 ml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</w:tr>
      <w:tr w:rsidR="00C26C1B" w:rsidRPr="009744AF" w:rsidTr="00C26C1B">
        <w:trPr>
          <w:trHeight w:val="440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Termometr, płyn (toluen),  0 +200C, dz.0,5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40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Kolba stożkowa szklana 200ml, Simax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26C1B" w:rsidRPr="009744AF" w:rsidTr="00C26C1B">
        <w:trPr>
          <w:trHeight w:val="410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Kolba stożkowa szklana, 300ml, Simax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26C1B" w:rsidRPr="009744AF" w:rsidTr="00C26C1B">
        <w:trPr>
          <w:trHeight w:val="417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Korek gumowy szary 29x35x30mm (kauczuk)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26C1B" w:rsidRPr="009744AF" w:rsidTr="00C26C1B">
        <w:trPr>
          <w:trHeight w:val="409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Korek gumowy szary 31x38x35mm (kauczuk)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C26C1B" w:rsidRPr="009744AF" w:rsidTr="00C26C1B">
        <w:trPr>
          <w:trHeight w:val="42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buforowy 4,01 pH, 500ml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406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buforowy 7,00 pH, 500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427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buforowy 10,01 pH, 500 ml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405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Lejek Buchnera porcelanowy, średnica 48 mm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C26C1B" w:rsidRPr="009744AF" w:rsidTr="00C26C1B">
        <w:trPr>
          <w:trHeight w:val="424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Lejek Buchnera porcelanowy, średnica 97 mm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416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Lejek Buchnera PP, średnica 160 mm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40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Lejek Buchnera porcelanowy, średnica 130 mm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570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Etykiety z czerwoną ramką, w rolce, do opisywania buteleczek, 25 x 20 mm 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551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Etykiety z czerwoną ramką, w rolce, do opisywania buteleczek, 63 x 38 mm 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558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Woreczki na próbki z LDPE,  z zamknięciem strunowym, z polem opisu, 80 x 120 mm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549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Woreczki na próbki z LDPE,  z zamknięciem strunowym, z polem opisu, 160 x 220 mm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549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Woreczki na próbki z LDPE,  z zamknięciem strunowym, z polem opisu, 220 x 310 mm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571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Woreczki na próbki z LDPE,  z zamknięciem strunowym, bez pola opisu, 300 x 400 mm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</w:tr>
      <w:tr w:rsidR="00C26C1B" w:rsidRPr="009744AF" w:rsidTr="00C26C1B">
        <w:trPr>
          <w:trHeight w:val="487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Czasomierz z funkcją alarmu, wyświetlacz LCD, zasilanie bateriami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486"/>
        </w:trPr>
        <w:tc>
          <w:tcPr>
            <w:tcW w:w="839" w:type="dxa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5648" w:type="dxa"/>
            <w:gridSpan w:val="2"/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 xml:space="preserve">Stoper elektroniczny </w:t>
            </w:r>
          </w:p>
        </w:tc>
        <w:tc>
          <w:tcPr>
            <w:tcW w:w="1418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168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Refraktometr cyfrowy kieszonkowy PAL-Coffe:zakres pomiaru 0,00-25,00% Brix, rozdzielczość 0,01% (0+9,99%) oraz rozdzielczość 0,1%(10,0+25,0) precyzja ± 0,1%, automatyczna kompensacja temperatry 10-100°C, klasa szczelności IP65 (pierwszy pomiar po ustabilizowaniu oraz ciągły pomiar przez 120 s z próbkowaniem i wyświetlaniem aktualnego pomiaru co 5 sek)                Nr kat 272-47-4523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843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Formaldehyd, roztwór ok. 37%, GR do analizy, stabilizowany ok. 10% metanolu ACS, Reag. Ph Eur. Opakowanie 1 L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Nr kat. 1040031000 Merck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744AF">
              <w:rPr>
                <w:rFonts w:eastAsia="Calibri"/>
                <w:sz w:val="20"/>
                <w:szCs w:val="20"/>
                <w:lang w:val="en-US" w:eastAsia="en-US"/>
              </w:rPr>
              <w:t>Opak 1L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744AF">
              <w:rPr>
                <w:rFonts w:eastAsia="Calibri"/>
                <w:sz w:val="20"/>
                <w:szCs w:val="20"/>
                <w:lang w:val="en-US" w:eastAsia="en-US"/>
              </w:rPr>
              <w:t>1</w:t>
            </w:r>
          </w:p>
        </w:tc>
      </w:tr>
      <w:tr w:rsidR="00C26C1B" w:rsidRPr="009744AF" w:rsidTr="00C26C1B">
        <w:trPr>
          <w:trHeight w:val="201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spacing w:after="15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Roztwór wzorcowy  do analizy ICP-MS- mieszanina 25 pierwiastków (Al., Sb, As, Ba, Be, Cd, Ca, Cr, Co, Cu, Fe, Pb, Mg, Mn, Mo, Ni, K, Se, Ag, Na, Tl, Th, U, V, Zn) o stężeniu co najmniej 10µg/ml w HNO3, objętość roztworu 100 ml, Roztwór musi posiadać odniesienie do wzorca wyższego rzędu (odniesienie do SRM z NIST) oraz zapewniać spójność pomiarową. Producent roztworu wzorcowego powinien mieć wdrożony system zarządzania jakością zgodny z ISO 17025</w:t>
            </w:r>
          </w:p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opak 100 ml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26C1B" w:rsidRPr="009744AF" w:rsidTr="00C26C1B">
        <w:trPr>
          <w:trHeight w:val="43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9744AF">
              <w:rPr>
                <w:rFonts w:eastAsia="Calibri"/>
                <w:sz w:val="20"/>
                <w:szCs w:val="20"/>
                <w:lang w:val="en-US" w:eastAsia="en-US"/>
              </w:rPr>
              <w:t>HEKSAN for Organic Residue Analysis opak.2,5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424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ACETON  do HPLC opak.2,5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41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METANOL do HPLC opak.2,5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422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2-PROPANOL do HPLC opak.2,5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  <w:tr w:rsidR="00C26C1B" w:rsidRPr="009744AF" w:rsidTr="00C26C1B">
        <w:trPr>
          <w:trHeight w:val="415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9744A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WODA do HPLC opak.2,5 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2,5L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4AF" w:rsidRPr="009744AF" w:rsidRDefault="009744AF" w:rsidP="00C26C1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744A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</w:tr>
    </w:tbl>
    <w:p w:rsidR="009744AF" w:rsidRPr="009744AF" w:rsidRDefault="009744AF" w:rsidP="00D66C22">
      <w:pPr>
        <w:rPr>
          <w:sz w:val="20"/>
          <w:szCs w:val="20"/>
        </w:rPr>
      </w:pPr>
    </w:p>
    <w:p w:rsidR="004435EA" w:rsidRDefault="004435EA" w:rsidP="00D66C22"/>
    <w:p w:rsidR="009D4461" w:rsidRPr="00ED12E5" w:rsidRDefault="009D4461" w:rsidP="009D4461">
      <w:r w:rsidRPr="00ED12E5">
        <w:t xml:space="preserve">Wymagany termin wykonania dostawy – </w:t>
      </w:r>
      <w:r w:rsidR="006030E3">
        <w:t>30</w:t>
      </w:r>
      <w:bookmarkStart w:id="0" w:name="_GoBack"/>
      <w:bookmarkEnd w:id="0"/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</w:p>
    <w:p w:rsidR="009D4461" w:rsidRDefault="009D4461" w:rsidP="009D4461">
      <w:pPr>
        <w:rPr>
          <w:b/>
          <w:color w:val="FF0000"/>
        </w:rPr>
      </w:pPr>
      <w:r w:rsidRPr="00513BBB">
        <w:rPr>
          <w:color w:val="FF0000"/>
        </w:rPr>
        <w:t xml:space="preserve"> </w:t>
      </w:r>
      <w:r w:rsidRPr="00513BBB">
        <w:rPr>
          <w:b/>
          <w:color w:val="FF0000"/>
        </w:rPr>
        <w:t>Dopuszcza się możliwość składania ofert częściowych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90 %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Termin płatności = 10%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21 dni – 5 pkt. 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10 pkt.  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lastRenderedPageBreak/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6030E3">
        <w:rPr>
          <w:b/>
          <w:lang w:eastAsia="en-US"/>
        </w:rPr>
        <w:t>20</w:t>
      </w:r>
      <w:r w:rsidR="009744AF">
        <w:rPr>
          <w:b/>
          <w:lang w:eastAsia="en-US"/>
        </w:rPr>
        <w:t>.10</w:t>
      </w:r>
      <w:r w:rsidRPr="00936950">
        <w:rPr>
          <w:b/>
          <w:lang w:eastAsia="en-US"/>
        </w:rPr>
        <w:t>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Default="009744AF" w:rsidP="00936950"/>
    <w:p w:rsidR="009744AF" w:rsidRPr="00936950" w:rsidRDefault="009744AF" w:rsidP="00936950"/>
    <w:p w:rsidR="00936950" w:rsidRPr="00936950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ab/>
        <w:t xml:space="preserve">                                                                                                            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>( *) należy wpisać: 24,21 lub 30 dni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7E2" w:rsidRDefault="00DE47E2" w:rsidP="0014298E">
      <w:r>
        <w:separator/>
      </w:r>
    </w:p>
  </w:endnote>
  <w:endnote w:type="continuationSeparator" w:id="0">
    <w:p w:rsidR="00DE47E2" w:rsidRDefault="00DE47E2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030E3">
      <w:rPr>
        <w:noProof/>
      </w:rPr>
      <w:t>4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7E2" w:rsidRDefault="00DE47E2" w:rsidP="0014298E">
      <w:r>
        <w:separator/>
      </w:r>
    </w:p>
  </w:footnote>
  <w:footnote w:type="continuationSeparator" w:id="0">
    <w:p w:rsidR="00DE47E2" w:rsidRDefault="00DE47E2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74D55"/>
    <w:rsid w:val="000834BA"/>
    <w:rsid w:val="00087988"/>
    <w:rsid w:val="00123B0A"/>
    <w:rsid w:val="00125213"/>
    <w:rsid w:val="0013177B"/>
    <w:rsid w:val="0014298E"/>
    <w:rsid w:val="00142D57"/>
    <w:rsid w:val="001A3EE2"/>
    <w:rsid w:val="001D5978"/>
    <w:rsid w:val="002C420D"/>
    <w:rsid w:val="00306D85"/>
    <w:rsid w:val="00313C34"/>
    <w:rsid w:val="00360ED2"/>
    <w:rsid w:val="0038003B"/>
    <w:rsid w:val="0039682F"/>
    <w:rsid w:val="003C6E24"/>
    <w:rsid w:val="00405ED8"/>
    <w:rsid w:val="00423369"/>
    <w:rsid w:val="00437972"/>
    <w:rsid w:val="004435EA"/>
    <w:rsid w:val="00483036"/>
    <w:rsid w:val="004D22FD"/>
    <w:rsid w:val="004E4A19"/>
    <w:rsid w:val="00513BBB"/>
    <w:rsid w:val="0053624D"/>
    <w:rsid w:val="006030E3"/>
    <w:rsid w:val="00604DB3"/>
    <w:rsid w:val="006C01E9"/>
    <w:rsid w:val="006E1C1D"/>
    <w:rsid w:val="006F40D9"/>
    <w:rsid w:val="00711843"/>
    <w:rsid w:val="00774035"/>
    <w:rsid w:val="00791C75"/>
    <w:rsid w:val="007D652C"/>
    <w:rsid w:val="007E7503"/>
    <w:rsid w:val="00880677"/>
    <w:rsid w:val="00903C83"/>
    <w:rsid w:val="00936950"/>
    <w:rsid w:val="0097259B"/>
    <w:rsid w:val="009744AF"/>
    <w:rsid w:val="00980EF2"/>
    <w:rsid w:val="00987D82"/>
    <w:rsid w:val="009D4461"/>
    <w:rsid w:val="009D7BDE"/>
    <w:rsid w:val="00A134DF"/>
    <w:rsid w:val="00A154C3"/>
    <w:rsid w:val="00A32A5D"/>
    <w:rsid w:val="00A96189"/>
    <w:rsid w:val="00AE7FC9"/>
    <w:rsid w:val="00AF05B3"/>
    <w:rsid w:val="00B16FAB"/>
    <w:rsid w:val="00B24B1D"/>
    <w:rsid w:val="00B64305"/>
    <w:rsid w:val="00BD34A4"/>
    <w:rsid w:val="00C06059"/>
    <w:rsid w:val="00C26C1B"/>
    <w:rsid w:val="00C47CA3"/>
    <w:rsid w:val="00C71AF8"/>
    <w:rsid w:val="00CA13C2"/>
    <w:rsid w:val="00CC1B91"/>
    <w:rsid w:val="00CD4B10"/>
    <w:rsid w:val="00D4474C"/>
    <w:rsid w:val="00D44BE8"/>
    <w:rsid w:val="00D668E3"/>
    <w:rsid w:val="00D66C22"/>
    <w:rsid w:val="00D905B0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1406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5</cp:revision>
  <cp:lastPrinted>2016-10-11T11:50:00Z</cp:lastPrinted>
  <dcterms:created xsi:type="dcterms:W3CDTF">2016-10-11T11:37:00Z</dcterms:created>
  <dcterms:modified xsi:type="dcterms:W3CDTF">2016-10-18T10:39:00Z</dcterms:modified>
</cp:coreProperties>
</file>